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CAEA3" w14:textId="170B427F" w:rsidR="003F2F7C" w:rsidRDefault="003F2F7C" w:rsidP="003F2F7C">
      <w:pPr>
        <w:pStyle w:val="a3"/>
        <w:tabs>
          <w:tab w:val="right" w:pos="9639"/>
        </w:tabs>
        <w:rPr>
          <w:rFonts w:eastAsia="MS Mincho"/>
          <w:noProof w:val="0"/>
          <w:sz w:val="24"/>
          <w:szCs w:val="24"/>
          <w:lang w:val="en-GB" w:eastAsia="en-GB"/>
        </w:rPr>
      </w:pPr>
      <w:r>
        <w:rPr>
          <w:rFonts w:eastAsia="MS Mincho"/>
          <w:noProof w:val="0"/>
          <w:sz w:val="24"/>
          <w:szCs w:val="24"/>
          <w:lang w:val="en-GB" w:eastAsia="en-GB"/>
        </w:rPr>
        <w:t>3GPP TSG-RAN WG2 Meeting #116bis electronic</w:t>
      </w:r>
      <w:r>
        <w:rPr>
          <w:rFonts w:eastAsia="MS Mincho"/>
          <w:noProof w:val="0"/>
          <w:sz w:val="24"/>
          <w:szCs w:val="24"/>
          <w:lang w:val="en-GB" w:eastAsia="en-GB"/>
        </w:rPr>
        <w:tab/>
        <w:t>R2-22</w:t>
      </w:r>
      <w:r w:rsidR="00D81BCE">
        <w:rPr>
          <w:rFonts w:eastAsia="MS Mincho"/>
          <w:noProof w:val="0"/>
          <w:sz w:val="24"/>
          <w:szCs w:val="24"/>
          <w:lang w:val="en-GB" w:eastAsia="en-GB"/>
        </w:rPr>
        <w:t>00767</w:t>
      </w:r>
    </w:p>
    <w:p w14:paraId="4AA29EF9" w14:textId="61F45F3B" w:rsidR="00934AFD" w:rsidRPr="001C7FAA" w:rsidRDefault="003F2F7C" w:rsidP="003F2F7C">
      <w:pPr>
        <w:pStyle w:val="a3"/>
        <w:tabs>
          <w:tab w:val="right" w:pos="9639"/>
        </w:tabs>
        <w:jc w:val="both"/>
        <w:rPr>
          <w:rFonts w:cs="Arial"/>
          <w:b w:val="0"/>
          <w:bCs/>
          <w:i/>
          <w:iCs/>
          <w:sz w:val="24"/>
          <w:lang w:eastAsia="zh-CN"/>
        </w:rPr>
      </w:pPr>
      <w:r>
        <w:rPr>
          <w:rFonts w:eastAsia="MS Mincho"/>
          <w:sz w:val="24"/>
          <w:szCs w:val="24"/>
          <w:lang w:val="en-GB" w:eastAsia="en-GB"/>
        </w:rPr>
        <w:t>Online, January 17 - 25, 2022</w:t>
      </w:r>
      <w:r w:rsidR="00934AFD" w:rsidRPr="001C7FAA">
        <w:rPr>
          <w:rFonts w:eastAsia="MS Mincho"/>
          <w:noProof w:val="0"/>
          <w:sz w:val="24"/>
          <w:szCs w:val="24"/>
          <w:lang w:val="en-GB" w:eastAsia="en-GB"/>
        </w:rPr>
        <w:t xml:space="preserve"> </w:t>
      </w:r>
      <w:r w:rsidR="00934AFD">
        <w:rPr>
          <w:rFonts w:eastAsia="MS Mincho"/>
          <w:noProof w:val="0"/>
          <w:sz w:val="24"/>
          <w:szCs w:val="24"/>
          <w:lang w:val="en-GB" w:eastAsia="en-GB"/>
        </w:rPr>
        <w:t xml:space="preserve">                   </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48F47B8A"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420773">
        <w:rPr>
          <w:rFonts w:eastAsia="宋体" w:cs="Arial"/>
          <w:b/>
          <w:bCs/>
          <w:kern w:val="2"/>
          <w:sz w:val="24"/>
          <w:szCs w:val="22"/>
          <w:lang w:val="en-US" w:eastAsia="zh-CN"/>
        </w:rPr>
        <w:t>3</w:t>
      </w:r>
      <w:r w:rsidR="00646CB0">
        <w:rPr>
          <w:rFonts w:eastAsia="宋体" w:cs="Arial"/>
          <w:b/>
          <w:bCs/>
          <w:kern w:val="2"/>
          <w:sz w:val="24"/>
          <w:szCs w:val="22"/>
          <w:lang w:val="en-US" w:eastAsia="zh-CN"/>
        </w:rPr>
        <w:t>.</w:t>
      </w:r>
      <w:r w:rsidR="003F2F7C">
        <w:rPr>
          <w:rFonts w:eastAsia="宋体" w:cs="Arial"/>
          <w:b/>
          <w:bCs/>
          <w:kern w:val="2"/>
          <w:sz w:val="24"/>
          <w:szCs w:val="22"/>
          <w:lang w:val="en-US" w:eastAsia="zh-CN"/>
        </w:rPr>
        <w:t>2</w:t>
      </w:r>
    </w:p>
    <w:p w14:paraId="58D186C8"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792C96E5" w14:textId="701992CC"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F06445" w:rsidRPr="00F06445">
        <w:rPr>
          <w:rFonts w:ascii="Arial" w:hAnsi="Arial" w:cs="Arial"/>
          <w:b/>
          <w:bCs/>
          <w:sz w:val="24"/>
        </w:rPr>
        <w:t>Further discussion on idle mode mobility in NTN</w:t>
      </w:r>
    </w:p>
    <w:p w14:paraId="3EA5D324"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8BEEEC8" w14:textId="4A4D9B9D" w:rsidR="003931D6" w:rsidRDefault="003931D6" w:rsidP="000B6AD1">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he last RAN2#11</w:t>
      </w:r>
      <w:r w:rsidR="00684096">
        <w:rPr>
          <w:rFonts w:ascii="Times New Roman" w:hAnsi="Times New Roman"/>
          <w:sz w:val="20"/>
          <w:szCs w:val="20"/>
          <w:lang w:val="en-GB"/>
        </w:rPr>
        <w:t>6</w:t>
      </w:r>
      <w:r>
        <w:rPr>
          <w:rFonts w:ascii="Times New Roman" w:hAnsi="Times New Roman"/>
          <w:sz w:val="20"/>
          <w:szCs w:val="20"/>
          <w:lang w:val="en-GB"/>
        </w:rPr>
        <w:t xml:space="preserve">e meeting made the following agreements regarding </w:t>
      </w:r>
      <w:r w:rsidR="00684096">
        <w:rPr>
          <w:rFonts w:ascii="Times New Roman" w:hAnsi="Times New Roman" w:hint="eastAsia"/>
          <w:sz w:val="20"/>
          <w:szCs w:val="20"/>
          <w:lang w:val="en-GB"/>
        </w:rPr>
        <w:t>idle</w:t>
      </w:r>
      <w:r w:rsidR="00684096">
        <w:rPr>
          <w:rFonts w:ascii="Times New Roman" w:hAnsi="Times New Roman"/>
          <w:sz w:val="20"/>
          <w:szCs w:val="20"/>
          <w:lang w:val="en-GB"/>
        </w:rPr>
        <w:t xml:space="preserve"> </w:t>
      </w:r>
      <w:r w:rsidR="00C95BF6" w:rsidRPr="00C95BF6">
        <w:rPr>
          <w:rFonts w:ascii="Times New Roman" w:hAnsi="Times New Roman"/>
          <w:sz w:val="20"/>
          <w:szCs w:val="20"/>
          <w:lang w:val="en-GB"/>
        </w:rPr>
        <w:t>mobility for NTN</w:t>
      </w:r>
      <w:r>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3931D6" w14:paraId="187CB000" w14:textId="77777777" w:rsidTr="003931D6">
        <w:tc>
          <w:tcPr>
            <w:tcW w:w="9629" w:type="dxa"/>
          </w:tcPr>
          <w:p w14:paraId="0C7B997D" w14:textId="77777777" w:rsidR="008F393A" w:rsidRPr="008F393A" w:rsidRDefault="008F393A" w:rsidP="008F393A">
            <w:pPr>
              <w:pStyle w:val="a6"/>
              <w:numPr>
                <w:ilvl w:val="0"/>
                <w:numId w:val="41"/>
              </w:numPr>
              <w:spacing w:after="0"/>
              <w:ind w:firstLineChars="0"/>
              <w:rPr>
                <w:b/>
                <w:bCs/>
                <w:lang w:val="x-none"/>
              </w:rPr>
            </w:pPr>
            <w:r w:rsidRPr="008F393A">
              <w:rPr>
                <w:b/>
                <w:bCs/>
                <w:lang w:val="x-none"/>
              </w:rPr>
              <w:t>Location assisted cell reselection, with the distance between UE and the reference location of the cell (serving cell and/or neighbor cell) taken into account, is supported for quasi-earth fixed cell. FFS on how UE performs location acquisition.</w:t>
            </w:r>
          </w:p>
          <w:p w14:paraId="6B6CE08A" w14:textId="77777777" w:rsidR="008F393A" w:rsidRPr="008F393A" w:rsidRDefault="008F393A" w:rsidP="008F393A">
            <w:pPr>
              <w:pStyle w:val="a6"/>
              <w:numPr>
                <w:ilvl w:val="0"/>
                <w:numId w:val="41"/>
              </w:numPr>
              <w:spacing w:after="0"/>
              <w:ind w:firstLineChars="0"/>
              <w:rPr>
                <w:b/>
                <w:bCs/>
                <w:lang w:val="x-none"/>
              </w:rPr>
            </w:pPr>
            <w:r w:rsidRPr="008F393A">
              <w:rPr>
                <w:b/>
                <w:bCs/>
                <w:lang w:val="x-none"/>
              </w:rPr>
              <w:t>When UE uses location based cell reselection enhancements, it's up to UE implementation to guarantee that a valid location information is available</w:t>
            </w:r>
          </w:p>
          <w:p w14:paraId="4AEEF8AE" w14:textId="77777777" w:rsidR="008F393A" w:rsidRPr="008F393A" w:rsidRDefault="008F393A" w:rsidP="008F393A">
            <w:pPr>
              <w:pStyle w:val="a6"/>
              <w:numPr>
                <w:ilvl w:val="0"/>
                <w:numId w:val="41"/>
              </w:numPr>
              <w:spacing w:after="0"/>
              <w:ind w:firstLineChars="0"/>
              <w:rPr>
                <w:b/>
                <w:bCs/>
                <w:lang w:val="x-none"/>
              </w:rPr>
            </w:pPr>
            <w:r w:rsidRPr="008F393A">
              <w:rPr>
                <w:b/>
                <w:bCs/>
                <w:lang w:val="x-none"/>
              </w:rPr>
              <w:t>For quasi-earth fixed cell, same as legacy, UE shall perform neighbour cell measurements of “higher priority NR inter-frequency or inter-RAT frequencies” regardless of the distance between UE and serving cell reference location.</w:t>
            </w:r>
          </w:p>
          <w:p w14:paraId="6A4C0B55" w14:textId="77777777" w:rsidR="008F393A" w:rsidRPr="008F393A" w:rsidRDefault="008F393A" w:rsidP="008F393A">
            <w:pPr>
              <w:pStyle w:val="a6"/>
              <w:numPr>
                <w:ilvl w:val="0"/>
                <w:numId w:val="41"/>
              </w:numPr>
              <w:spacing w:after="0"/>
              <w:ind w:firstLineChars="0"/>
              <w:rPr>
                <w:b/>
                <w:bCs/>
                <w:lang w:val="x-none"/>
              </w:rPr>
            </w:pPr>
            <w:r w:rsidRPr="008F393A">
              <w:rPr>
                <w:b/>
                <w:bCs/>
                <w:lang w:val="x-none"/>
              </w:rPr>
              <w:t xml:space="preserve">For quasi-earth fixed cell, UE should start measurements on neighbour cells before the serving cell stops covering the current area, regardless of (the distance between UE and serving cell reference location) or (if legacy </w:t>
            </w:r>
            <w:proofErr w:type="spellStart"/>
            <w:r w:rsidRPr="008F393A">
              <w:rPr>
                <w:b/>
                <w:bCs/>
                <w:lang w:val="x-none"/>
              </w:rPr>
              <w:t>Srxlev</w:t>
            </w:r>
            <w:proofErr w:type="spellEnd"/>
            <w:r w:rsidRPr="008F393A">
              <w:rPr>
                <w:b/>
                <w:bCs/>
                <w:lang w:val="x-none"/>
              </w:rPr>
              <w:t>/</w:t>
            </w:r>
            <w:proofErr w:type="spellStart"/>
            <w:r w:rsidRPr="008F393A">
              <w:rPr>
                <w:b/>
                <w:bCs/>
                <w:lang w:val="x-none"/>
              </w:rPr>
              <w:t>Squal</w:t>
            </w:r>
            <w:proofErr w:type="spellEnd"/>
            <w:r w:rsidRPr="008F393A">
              <w:rPr>
                <w:b/>
                <w:bCs/>
                <w:lang w:val="x-none"/>
              </w:rPr>
              <w:t xml:space="preserve"> condition is met, i.e., serving cell’s </w:t>
            </w:r>
            <w:proofErr w:type="spellStart"/>
            <w:r w:rsidRPr="008F393A">
              <w:rPr>
                <w:b/>
                <w:bCs/>
                <w:lang w:val="x-none"/>
              </w:rPr>
              <w:t>Srxlev</w:t>
            </w:r>
            <w:proofErr w:type="spellEnd"/>
            <w:r w:rsidRPr="008F393A">
              <w:rPr>
                <w:b/>
                <w:bCs/>
                <w:lang w:val="x-none"/>
              </w:rPr>
              <w:t>/</w:t>
            </w:r>
            <w:proofErr w:type="spellStart"/>
            <w:r w:rsidRPr="008F393A">
              <w:rPr>
                <w:b/>
                <w:bCs/>
                <w:lang w:val="x-none"/>
              </w:rPr>
              <w:t>Squal</w:t>
            </w:r>
            <w:proofErr w:type="spellEnd"/>
            <w:r w:rsidRPr="008F393A">
              <w:rPr>
                <w:b/>
                <w:bCs/>
                <w:lang w:val="x-none"/>
              </w:rPr>
              <w:t xml:space="preserve"> is better than a threshold).</w:t>
            </w:r>
          </w:p>
          <w:p w14:paraId="025BB74A" w14:textId="628011DB" w:rsidR="008F393A" w:rsidRPr="008F393A" w:rsidRDefault="008F393A" w:rsidP="008F393A">
            <w:pPr>
              <w:pStyle w:val="a6"/>
              <w:numPr>
                <w:ilvl w:val="0"/>
                <w:numId w:val="41"/>
              </w:numPr>
              <w:spacing w:after="0"/>
              <w:ind w:firstLineChars="0"/>
              <w:rPr>
                <w:b/>
                <w:bCs/>
                <w:lang w:val="x-none"/>
              </w:rPr>
            </w:pPr>
            <w:r w:rsidRPr="008F393A">
              <w:rPr>
                <w:b/>
                <w:bCs/>
                <w:lang w:val="x-none"/>
              </w:rPr>
              <w:t>Distance based cell reselection criteria for quasi-earth fixed cell is supported</w:t>
            </w:r>
            <w:r w:rsidR="00466850">
              <w:rPr>
                <w:b/>
                <w:bCs/>
                <w:lang w:val="x-none"/>
              </w:rPr>
              <w:t>.</w:t>
            </w:r>
          </w:p>
          <w:p w14:paraId="06B63E32" w14:textId="2095EF18" w:rsidR="008F393A" w:rsidRPr="008F393A" w:rsidRDefault="008F393A" w:rsidP="008F393A">
            <w:pPr>
              <w:pStyle w:val="a6"/>
              <w:numPr>
                <w:ilvl w:val="0"/>
                <w:numId w:val="41"/>
              </w:numPr>
              <w:spacing w:after="0"/>
              <w:ind w:firstLineChars="0"/>
              <w:rPr>
                <w:b/>
                <w:bCs/>
                <w:lang w:val="x-none"/>
              </w:rPr>
            </w:pPr>
            <w:r w:rsidRPr="008F393A">
              <w:rPr>
                <w:b/>
                <w:bCs/>
                <w:lang w:val="x-none"/>
              </w:rPr>
              <w:t>For quasi-earth fixed cell, the cell stop time of neighbour cell(s) is NOT broadcast</w:t>
            </w:r>
            <w:r>
              <w:rPr>
                <w:b/>
                <w:bCs/>
                <w:lang w:val="x-none"/>
              </w:rPr>
              <w:t>.</w:t>
            </w:r>
          </w:p>
        </w:tc>
      </w:tr>
    </w:tbl>
    <w:p w14:paraId="2F408294" w14:textId="0C01B59E" w:rsidR="00182C9C" w:rsidRDefault="00686606" w:rsidP="000B6AD1">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his contribution further</w:t>
      </w:r>
      <w:r w:rsidR="00684096">
        <w:rPr>
          <w:rFonts w:ascii="Times New Roman" w:hAnsi="Times New Roman"/>
          <w:sz w:val="20"/>
          <w:szCs w:val="20"/>
          <w:lang w:val="en-GB"/>
        </w:rPr>
        <w:t xml:space="preserve"> </w:t>
      </w:r>
      <w:r w:rsidR="00684096">
        <w:rPr>
          <w:rFonts w:ascii="Times New Roman" w:hAnsi="Times New Roman" w:hint="eastAsia"/>
          <w:sz w:val="20"/>
          <w:szCs w:val="20"/>
          <w:lang w:val="en-GB"/>
        </w:rPr>
        <w:t>discusses</w:t>
      </w:r>
      <w:r w:rsidR="00684096">
        <w:rPr>
          <w:rFonts w:ascii="Times New Roman" w:hAnsi="Times New Roman"/>
          <w:sz w:val="20"/>
          <w:szCs w:val="20"/>
          <w:lang w:val="en-GB"/>
        </w:rPr>
        <w:t xml:space="preserve"> </w:t>
      </w:r>
      <w:r w:rsidR="00684096">
        <w:rPr>
          <w:rFonts w:ascii="Times New Roman" w:hAnsi="Times New Roman" w:hint="eastAsia"/>
          <w:sz w:val="20"/>
          <w:szCs w:val="20"/>
          <w:lang w:val="en-GB"/>
        </w:rPr>
        <w:t>on</w:t>
      </w:r>
      <w:r w:rsidR="00684096">
        <w:rPr>
          <w:rFonts w:ascii="Times New Roman" w:hAnsi="Times New Roman"/>
          <w:sz w:val="20"/>
          <w:szCs w:val="20"/>
          <w:lang w:val="en-GB"/>
        </w:rPr>
        <w:t xml:space="preserve"> applying distance-based criterion in NTN idle mobility</w:t>
      </w:r>
      <w:r w:rsidR="00466329">
        <w:rPr>
          <w:rFonts w:ascii="Times New Roman" w:hAnsi="Times New Roman"/>
          <w:sz w:val="20"/>
          <w:szCs w:val="20"/>
          <w:lang w:val="en-GB"/>
        </w:rPr>
        <w:t xml:space="preserve"> </w:t>
      </w:r>
      <w:r w:rsidR="00684096">
        <w:rPr>
          <w:rFonts w:ascii="Times New Roman" w:hAnsi="Times New Roman"/>
          <w:sz w:val="20"/>
          <w:szCs w:val="20"/>
          <w:lang w:val="en-GB"/>
        </w:rPr>
        <w:t>and support of discontinuous coverage.</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2EBA3242" w14:textId="7F41B976" w:rsidR="00997F7E" w:rsidRPr="00997F7E" w:rsidRDefault="00997F7E" w:rsidP="002323EA">
      <w:pPr>
        <w:outlineLvl w:val="1"/>
        <w:rPr>
          <w:rFonts w:ascii="Times New Roman" w:hAnsi="Times New Roman"/>
          <w:b/>
          <w:bCs/>
          <w:sz w:val="22"/>
          <w:u w:val="single"/>
          <w:lang w:val="en-GB"/>
        </w:rPr>
      </w:pPr>
      <w:r w:rsidRPr="00997F7E">
        <w:rPr>
          <w:rFonts w:ascii="Times New Roman" w:hAnsi="Times New Roman" w:hint="eastAsia"/>
          <w:b/>
          <w:bCs/>
          <w:sz w:val="22"/>
          <w:u w:val="single"/>
          <w:lang w:val="en-GB"/>
        </w:rPr>
        <w:t>D</w:t>
      </w:r>
      <w:r w:rsidRPr="00997F7E">
        <w:rPr>
          <w:rFonts w:ascii="Times New Roman" w:hAnsi="Times New Roman"/>
          <w:b/>
          <w:bCs/>
          <w:sz w:val="22"/>
          <w:u w:val="single"/>
          <w:lang w:val="en-GB"/>
        </w:rPr>
        <w:t>istance-based idle mobility</w:t>
      </w:r>
    </w:p>
    <w:p w14:paraId="7E06EDEB" w14:textId="0DC989E6" w:rsidR="00466850" w:rsidRDefault="00466850" w:rsidP="00466850">
      <w:pPr>
        <w:rPr>
          <w:rFonts w:ascii="Times New Roman" w:hAnsi="Times New Roman"/>
          <w:sz w:val="20"/>
          <w:szCs w:val="20"/>
          <w:lang w:val="en-GB"/>
        </w:rPr>
      </w:pPr>
      <w:r>
        <w:rPr>
          <w:rFonts w:ascii="Times New Roman" w:hAnsi="Times New Roman"/>
          <w:sz w:val="20"/>
          <w:szCs w:val="20"/>
          <w:lang w:val="en-GB"/>
        </w:rPr>
        <w:t>In</w:t>
      </w:r>
      <w:r w:rsidRPr="00466850">
        <w:rPr>
          <w:rFonts w:ascii="Times New Roman" w:hAnsi="Times New Roman"/>
          <w:sz w:val="20"/>
          <w:szCs w:val="20"/>
          <w:lang w:val="en-GB"/>
        </w:rPr>
        <w:t xml:space="preserve"> an NTN cell the antenna is on board satellites with much higher altitude, and different weather (e.g. rain, </w:t>
      </w:r>
      <w:proofErr w:type="gramStart"/>
      <w:r w:rsidRPr="00466850">
        <w:rPr>
          <w:rFonts w:ascii="Times New Roman" w:hAnsi="Times New Roman"/>
          <w:sz w:val="20"/>
          <w:szCs w:val="20"/>
          <w:lang w:val="en-GB"/>
        </w:rPr>
        <w:t>fog</w:t>
      </w:r>
      <w:proofErr w:type="gramEnd"/>
      <w:r w:rsidRPr="00466850">
        <w:rPr>
          <w:rFonts w:ascii="Times New Roman" w:hAnsi="Times New Roman"/>
          <w:sz w:val="20"/>
          <w:szCs w:val="20"/>
          <w:lang w:val="en-GB"/>
        </w:rPr>
        <w:t xml:space="preserve"> or cloud) may cause variable degrees of signal fading. As a result the </w:t>
      </w:r>
      <w:r>
        <w:rPr>
          <w:rFonts w:ascii="Times New Roman" w:hAnsi="Times New Roman"/>
          <w:sz w:val="20"/>
          <w:szCs w:val="20"/>
          <w:lang w:val="en-GB"/>
        </w:rPr>
        <w:t>signal strength or quality</w:t>
      </w:r>
      <w:r w:rsidRPr="00466850">
        <w:rPr>
          <w:rFonts w:ascii="Times New Roman" w:hAnsi="Times New Roman"/>
          <w:sz w:val="20"/>
          <w:szCs w:val="20"/>
          <w:lang w:val="en-GB"/>
        </w:rPr>
        <w:t xml:space="preserve"> difference between UEs at cell cent</w:t>
      </w:r>
      <w:r>
        <w:rPr>
          <w:rFonts w:ascii="Times New Roman" w:hAnsi="Times New Roman"/>
          <w:sz w:val="20"/>
          <w:szCs w:val="20"/>
          <w:lang w:val="en-GB"/>
        </w:rPr>
        <w:t>re</w:t>
      </w:r>
      <w:r w:rsidRPr="00466850">
        <w:rPr>
          <w:rFonts w:ascii="Times New Roman" w:hAnsi="Times New Roman"/>
          <w:sz w:val="20"/>
          <w:szCs w:val="20"/>
          <w:lang w:val="en-GB"/>
        </w:rPr>
        <w:t xml:space="preserve"> and cell edge is typically insignificant. </w:t>
      </w:r>
      <w:r>
        <w:rPr>
          <w:rFonts w:ascii="Times New Roman" w:hAnsi="Times New Roman"/>
          <w:sz w:val="20"/>
          <w:szCs w:val="20"/>
          <w:lang w:val="en-GB"/>
        </w:rPr>
        <w:t>As a result</w:t>
      </w:r>
      <w:r w:rsidRPr="00466850">
        <w:rPr>
          <w:rFonts w:ascii="Times New Roman" w:hAnsi="Times New Roman"/>
          <w:sz w:val="20"/>
          <w:szCs w:val="20"/>
          <w:lang w:val="en-GB"/>
        </w:rPr>
        <w:t xml:space="preserve"> </w:t>
      </w:r>
      <w:r>
        <w:rPr>
          <w:rFonts w:ascii="Times New Roman" w:hAnsi="Times New Roman"/>
          <w:sz w:val="20"/>
          <w:szCs w:val="20"/>
          <w:lang w:val="en-GB"/>
        </w:rPr>
        <w:t>the l</w:t>
      </w:r>
      <w:r w:rsidRPr="004F76BB">
        <w:rPr>
          <w:rFonts w:ascii="Times New Roman" w:hAnsi="Times New Roman"/>
          <w:sz w:val="20"/>
          <w:szCs w:val="20"/>
          <w:lang w:val="en-GB"/>
        </w:rPr>
        <w:t xml:space="preserve">egacy </w:t>
      </w:r>
      <w:r>
        <w:rPr>
          <w:rFonts w:ascii="Times New Roman" w:hAnsi="Times New Roman"/>
          <w:sz w:val="20"/>
          <w:szCs w:val="20"/>
          <w:lang w:val="en-GB"/>
        </w:rPr>
        <w:t xml:space="preserve">idle mobility relying on RSRP or RSRQ may not work </w:t>
      </w:r>
      <w:r w:rsidRPr="00466850">
        <w:rPr>
          <w:rFonts w:ascii="Times New Roman" w:hAnsi="Times New Roman"/>
          <w:sz w:val="20"/>
          <w:szCs w:val="20"/>
          <w:lang w:val="en-GB"/>
        </w:rPr>
        <w:t>appropriately.</w:t>
      </w:r>
      <w:r>
        <w:rPr>
          <w:rFonts w:ascii="Times New Roman" w:hAnsi="Times New Roman"/>
          <w:sz w:val="20"/>
          <w:szCs w:val="20"/>
          <w:lang w:val="en-GB"/>
        </w:rPr>
        <w:t xml:space="preserve"> Distance-based solutions are proposed and discussed in RAN2 as enhancements to the legacy mechanism. Although it has been agreed that d</w:t>
      </w:r>
      <w:r w:rsidRPr="00466850">
        <w:rPr>
          <w:rFonts w:ascii="Times New Roman" w:hAnsi="Times New Roman"/>
          <w:sz w:val="20"/>
          <w:szCs w:val="20"/>
          <w:lang w:val="en-GB"/>
        </w:rPr>
        <w:t>istance</w:t>
      </w:r>
      <w:r>
        <w:rPr>
          <w:rFonts w:ascii="Times New Roman" w:hAnsi="Times New Roman"/>
          <w:sz w:val="20"/>
          <w:szCs w:val="20"/>
          <w:lang w:val="en-GB"/>
        </w:rPr>
        <w:t>-</w:t>
      </w:r>
      <w:r w:rsidRPr="00466850">
        <w:rPr>
          <w:rFonts w:ascii="Times New Roman" w:hAnsi="Times New Roman"/>
          <w:sz w:val="20"/>
          <w:szCs w:val="20"/>
          <w:lang w:val="en-GB"/>
        </w:rPr>
        <w:t>based cell reselection criteria for quasi-earth fixed cell is supported</w:t>
      </w:r>
      <w:r>
        <w:rPr>
          <w:rFonts w:ascii="Times New Roman" w:hAnsi="Times New Roman"/>
          <w:sz w:val="20"/>
          <w:szCs w:val="20"/>
          <w:lang w:val="en-GB"/>
        </w:rPr>
        <w:t>, it is still unclear how the distance-based criterion should work during cell reselection procedures.</w:t>
      </w:r>
      <w:r>
        <w:rPr>
          <w:rFonts w:ascii="Times New Roman" w:hAnsi="Times New Roman" w:hint="eastAsia"/>
          <w:sz w:val="20"/>
          <w:szCs w:val="20"/>
          <w:lang w:val="en-GB"/>
        </w:rPr>
        <w:t xml:space="preserve"> </w:t>
      </w:r>
      <w:r>
        <w:rPr>
          <w:rFonts w:ascii="Times New Roman" w:hAnsi="Times New Roman"/>
          <w:sz w:val="20"/>
          <w:szCs w:val="20"/>
          <w:lang w:val="en-GB"/>
        </w:rPr>
        <w:t>As the cell reselection is done by UE measurement on neighbour cells and cell ranking based on the measurements, it is similar that the distance-based criterion could be used in either</w:t>
      </w:r>
      <w:r w:rsidR="009705C4">
        <w:rPr>
          <w:rFonts w:ascii="Times New Roman" w:hAnsi="Times New Roman"/>
          <w:sz w:val="20"/>
          <w:szCs w:val="20"/>
          <w:lang w:val="en-GB"/>
        </w:rPr>
        <w:t xml:space="preserve"> step:</w:t>
      </w:r>
    </w:p>
    <w:p w14:paraId="07BBFF8B" w14:textId="55285C6C" w:rsidR="009705C4" w:rsidRPr="009705C4" w:rsidRDefault="009705C4" w:rsidP="00466850">
      <w:pPr>
        <w:rPr>
          <w:rFonts w:ascii="Times New Roman" w:hAnsi="Times New Roman"/>
          <w:b/>
          <w:bCs/>
          <w:sz w:val="20"/>
          <w:szCs w:val="20"/>
          <w:lang w:val="en-GB"/>
        </w:rPr>
      </w:pPr>
      <w:r w:rsidRPr="009705C4">
        <w:rPr>
          <w:rFonts w:ascii="Times New Roman" w:hAnsi="Times New Roman" w:hint="eastAsia"/>
          <w:b/>
          <w:bCs/>
          <w:sz w:val="20"/>
          <w:szCs w:val="20"/>
          <w:lang w:val="en-GB"/>
        </w:rPr>
        <w:t>1</w:t>
      </w:r>
      <w:r w:rsidRPr="009705C4">
        <w:rPr>
          <w:rFonts w:ascii="Times New Roman" w:hAnsi="Times New Roman"/>
          <w:b/>
          <w:bCs/>
          <w:sz w:val="20"/>
          <w:szCs w:val="20"/>
          <w:lang w:val="en-GB"/>
        </w:rPr>
        <w:t>) Distance-based neighbour cell measurement triggering</w:t>
      </w:r>
    </w:p>
    <w:p w14:paraId="75957B0D" w14:textId="588490A8" w:rsidR="009705C4" w:rsidRDefault="009705C4" w:rsidP="009705C4">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n this </w:t>
      </w:r>
      <w:r w:rsidR="00B8248E">
        <w:rPr>
          <w:rFonts w:ascii="Times New Roman" w:hAnsi="Times New Roman"/>
          <w:sz w:val="20"/>
          <w:szCs w:val="20"/>
          <w:lang w:val="en-GB"/>
        </w:rPr>
        <w:t>option</w:t>
      </w:r>
      <w:r>
        <w:rPr>
          <w:rFonts w:ascii="Times New Roman" w:hAnsi="Times New Roman"/>
          <w:sz w:val="20"/>
          <w:szCs w:val="20"/>
          <w:lang w:val="en-GB"/>
        </w:rPr>
        <w:t xml:space="preserve"> a UE may trigger neighbour cell measurement when its distance to serving cell reference location is beyond a threshold. </w:t>
      </w:r>
      <w:r>
        <w:rPr>
          <w:rFonts w:ascii="Times New Roman" w:hAnsi="Times New Roman" w:hint="eastAsia"/>
          <w:sz w:val="20"/>
          <w:szCs w:val="20"/>
          <w:lang w:val="en-GB"/>
        </w:rPr>
        <w:t>T</w:t>
      </w:r>
      <w:r>
        <w:rPr>
          <w:rFonts w:ascii="Times New Roman" w:hAnsi="Times New Roman"/>
          <w:sz w:val="20"/>
          <w:szCs w:val="20"/>
          <w:lang w:val="en-GB"/>
        </w:rPr>
        <w:t xml:space="preserve">o implement this, broadcasting the reference location of serving cells is necessary, and the UE needs to calculate its distance to the reference location to determine whether neighbour cell measurement should be triggered. This solution is simple for a quasi-fixed cell to guarantee in-time triggering of neighbour cell measurement when the RSRP /RSRQ </w:t>
      </w:r>
      <w:r>
        <w:rPr>
          <w:rFonts w:ascii="Times New Roman" w:hAnsi="Times New Roman" w:hint="eastAsia"/>
          <w:sz w:val="20"/>
          <w:szCs w:val="20"/>
          <w:lang w:val="en-GB"/>
        </w:rPr>
        <w:t>variation</w:t>
      </w:r>
      <w:r>
        <w:rPr>
          <w:rFonts w:ascii="Times New Roman" w:hAnsi="Times New Roman"/>
          <w:sz w:val="20"/>
          <w:szCs w:val="20"/>
          <w:lang w:val="en-GB"/>
        </w:rPr>
        <w:t xml:space="preserve"> </w:t>
      </w:r>
      <w:r>
        <w:rPr>
          <w:rFonts w:ascii="Times New Roman" w:hAnsi="Times New Roman" w:hint="eastAsia"/>
          <w:sz w:val="20"/>
          <w:szCs w:val="20"/>
          <w:lang w:val="en-GB"/>
        </w:rPr>
        <w:t>is</w:t>
      </w:r>
      <w:r>
        <w:rPr>
          <w:rFonts w:ascii="Times New Roman" w:hAnsi="Times New Roman"/>
          <w:sz w:val="20"/>
          <w:szCs w:val="20"/>
          <w:lang w:val="en-GB"/>
        </w:rPr>
        <w:t xml:space="preserve"> not obvious in an NTN serving cell. For a moving cell it may require frequent acquiring of serving cell reference location as well as UE calculation.</w:t>
      </w:r>
    </w:p>
    <w:p w14:paraId="0C6705F1" w14:textId="6A768BBE" w:rsidR="009705C4" w:rsidRPr="00B8248E" w:rsidRDefault="009705C4" w:rsidP="009705C4">
      <w:pPr>
        <w:rPr>
          <w:rFonts w:ascii="Times New Roman" w:hAnsi="Times New Roman"/>
          <w:b/>
          <w:bCs/>
          <w:sz w:val="20"/>
          <w:szCs w:val="20"/>
          <w:lang w:val="en-GB"/>
        </w:rPr>
      </w:pPr>
      <w:r w:rsidRPr="00B8248E">
        <w:rPr>
          <w:rFonts w:ascii="Times New Roman" w:hAnsi="Times New Roman" w:hint="eastAsia"/>
          <w:b/>
          <w:bCs/>
          <w:sz w:val="20"/>
          <w:szCs w:val="20"/>
          <w:lang w:val="en-GB"/>
        </w:rPr>
        <w:t>2</w:t>
      </w:r>
      <w:r w:rsidRPr="00B8248E">
        <w:rPr>
          <w:rFonts w:ascii="Times New Roman" w:hAnsi="Times New Roman"/>
          <w:b/>
          <w:bCs/>
          <w:sz w:val="20"/>
          <w:szCs w:val="20"/>
          <w:lang w:val="en-GB"/>
        </w:rPr>
        <w:t>) Distance-based restriction for candidate cells</w:t>
      </w:r>
    </w:p>
    <w:p w14:paraId="2AEA8FBA" w14:textId="35A442F3" w:rsidR="00B8248E" w:rsidRPr="00435537" w:rsidRDefault="009705C4" w:rsidP="00B8248E">
      <w:pPr>
        <w:rPr>
          <w:rFonts w:ascii="Times New Roman" w:hAnsi="Times New Roman"/>
          <w:sz w:val="20"/>
          <w:szCs w:val="20"/>
          <w:lang w:val="en-GB"/>
        </w:rPr>
      </w:pPr>
      <w:r>
        <w:rPr>
          <w:rFonts w:ascii="Times New Roman" w:hAnsi="Times New Roman" w:hint="eastAsia"/>
          <w:sz w:val="20"/>
          <w:szCs w:val="20"/>
          <w:lang w:val="en-GB"/>
        </w:rPr>
        <w:lastRenderedPageBreak/>
        <w:t>I</w:t>
      </w:r>
      <w:r>
        <w:rPr>
          <w:rFonts w:ascii="Times New Roman" w:hAnsi="Times New Roman"/>
          <w:sz w:val="20"/>
          <w:szCs w:val="20"/>
          <w:lang w:val="en-GB"/>
        </w:rPr>
        <w:t xml:space="preserve">n this </w:t>
      </w:r>
      <w:r w:rsidR="00B8248E">
        <w:rPr>
          <w:rFonts w:ascii="Times New Roman" w:hAnsi="Times New Roman"/>
          <w:sz w:val="20"/>
          <w:szCs w:val="20"/>
          <w:lang w:val="en-GB"/>
        </w:rPr>
        <w:t>option</w:t>
      </w:r>
      <w:r>
        <w:rPr>
          <w:rFonts w:ascii="Times New Roman" w:hAnsi="Times New Roman"/>
          <w:sz w:val="20"/>
          <w:szCs w:val="20"/>
          <w:lang w:val="en-GB"/>
        </w:rPr>
        <w:t xml:space="preserve"> a UE may only consider neighbour cells within a certain distance or preclude neighbour cells further than a certain distance when it performs cell ranking. </w:t>
      </w:r>
      <w:r>
        <w:rPr>
          <w:rFonts w:ascii="Times New Roman" w:hAnsi="Times New Roman" w:hint="eastAsia"/>
          <w:sz w:val="20"/>
          <w:szCs w:val="20"/>
          <w:lang w:val="en-GB"/>
        </w:rPr>
        <w:t>T</w:t>
      </w:r>
      <w:r>
        <w:rPr>
          <w:rFonts w:ascii="Times New Roman" w:hAnsi="Times New Roman"/>
          <w:sz w:val="20"/>
          <w:szCs w:val="20"/>
          <w:lang w:val="en-GB"/>
        </w:rPr>
        <w:t>o implement this,</w:t>
      </w:r>
      <w:r w:rsidR="00B8248E">
        <w:rPr>
          <w:rFonts w:ascii="Times New Roman" w:hAnsi="Times New Roman"/>
          <w:sz w:val="20"/>
          <w:szCs w:val="20"/>
          <w:lang w:val="en-GB"/>
        </w:rPr>
        <w:t xml:space="preserve"> broadcasting the reference locations of all possible neighbour cells is necessary, and the UE needs to calculate its distance to each reference location to determine whether a cell is considered as candidate. This will introduce much more power consumption for an idle UE especially when the neighbour cells are Earth-moving.</w:t>
      </w:r>
    </w:p>
    <w:p w14:paraId="040AFEF4" w14:textId="03F832C8" w:rsidR="00466850" w:rsidRPr="009705C4" w:rsidRDefault="009705C4" w:rsidP="00466850">
      <w:pPr>
        <w:rPr>
          <w:rFonts w:ascii="Times New Roman" w:hAnsi="Times New Roman"/>
          <w:b/>
          <w:bCs/>
          <w:sz w:val="20"/>
          <w:szCs w:val="20"/>
          <w:lang w:val="en-GB"/>
        </w:rPr>
      </w:pPr>
      <w:r w:rsidRPr="009705C4">
        <w:rPr>
          <w:rFonts w:ascii="Times New Roman" w:hAnsi="Times New Roman"/>
          <w:b/>
          <w:bCs/>
          <w:sz w:val="20"/>
          <w:szCs w:val="20"/>
          <w:lang w:val="en-GB"/>
        </w:rPr>
        <w:t>3) Distance-based cell ranking</w:t>
      </w:r>
    </w:p>
    <w:p w14:paraId="634836B6" w14:textId="728A4320" w:rsidR="009705C4" w:rsidRDefault="009705C4" w:rsidP="00466850">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n this </w:t>
      </w:r>
      <w:r w:rsidR="00B8248E">
        <w:rPr>
          <w:rFonts w:ascii="Times New Roman" w:hAnsi="Times New Roman"/>
          <w:sz w:val="20"/>
          <w:szCs w:val="20"/>
          <w:lang w:val="en-GB"/>
        </w:rPr>
        <w:t>option</w:t>
      </w:r>
      <w:r>
        <w:rPr>
          <w:rFonts w:ascii="Times New Roman" w:hAnsi="Times New Roman"/>
          <w:sz w:val="20"/>
          <w:szCs w:val="20"/>
          <w:lang w:val="en-GB"/>
        </w:rPr>
        <w:t xml:space="preserve"> a UE ranks candidate cells based on its distances to them.</w:t>
      </w:r>
      <w:r w:rsidR="00B8248E" w:rsidRPr="00B8248E">
        <w:rPr>
          <w:rFonts w:ascii="Times New Roman" w:hAnsi="Times New Roman" w:hint="eastAsia"/>
          <w:sz w:val="20"/>
          <w:szCs w:val="20"/>
          <w:lang w:val="en-GB"/>
        </w:rPr>
        <w:t xml:space="preserve"> </w:t>
      </w:r>
      <w:r w:rsidR="00B8248E">
        <w:rPr>
          <w:rFonts w:ascii="Times New Roman" w:hAnsi="Times New Roman"/>
          <w:sz w:val="20"/>
          <w:szCs w:val="20"/>
          <w:lang w:val="en-GB"/>
        </w:rPr>
        <w:t xml:space="preserve">Similar with 2), broadcasting the reference locations of neighbour cells is necessary, and the UE needs to calculate its distance to each reference location to determine the ranking of a cell. This will introduce much more power consumption for an idle UE especially when the neighbour cells are Earth-moving. It may also </w:t>
      </w:r>
      <w:r w:rsidR="00B8248E" w:rsidRPr="00435537">
        <w:rPr>
          <w:rFonts w:ascii="Times New Roman" w:hAnsi="Times New Roman"/>
          <w:sz w:val="20"/>
          <w:szCs w:val="20"/>
          <w:lang w:val="en-GB"/>
        </w:rPr>
        <w:t xml:space="preserve">violate the </w:t>
      </w:r>
      <w:r w:rsidR="00B8248E">
        <w:rPr>
          <w:rFonts w:ascii="Times New Roman" w:hAnsi="Times New Roman"/>
          <w:sz w:val="20"/>
          <w:szCs w:val="20"/>
          <w:lang w:val="en-GB"/>
        </w:rPr>
        <w:t xml:space="preserve">“best cell quality” </w:t>
      </w:r>
      <w:r w:rsidR="00B8248E" w:rsidRPr="00435537">
        <w:rPr>
          <w:rFonts w:ascii="Times New Roman" w:hAnsi="Times New Roman"/>
          <w:sz w:val="20"/>
          <w:szCs w:val="20"/>
          <w:lang w:val="en-GB"/>
        </w:rPr>
        <w:t>principle</w:t>
      </w:r>
      <w:r w:rsidR="00B8248E">
        <w:rPr>
          <w:rFonts w:ascii="Times New Roman" w:hAnsi="Times New Roman"/>
          <w:sz w:val="20"/>
          <w:szCs w:val="20"/>
          <w:lang w:val="en-GB"/>
        </w:rPr>
        <w:t xml:space="preserve"> of cell reselection without </w:t>
      </w:r>
      <w:r w:rsidR="00B8248E">
        <w:rPr>
          <w:rFonts w:ascii="Times New Roman" w:hAnsi="Times New Roman" w:hint="eastAsia"/>
          <w:sz w:val="20"/>
          <w:szCs w:val="20"/>
          <w:lang w:val="en-GB"/>
        </w:rPr>
        <w:t>significant</w:t>
      </w:r>
      <w:r w:rsidR="00B8248E">
        <w:rPr>
          <w:rFonts w:ascii="Times New Roman" w:hAnsi="Times New Roman"/>
          <w:sz w:val="20"/>
          <w:szCs w:val="20"/>
          <w:lang w:val="en-GB"/>
        </w:rPr>
        <w:t xml:space="preserve"> improvement.</w:t>
      </w:r>
    </w:p>
    <w:p w14:paraId="3D3E28E6" w14:textId="37E45465" w:rsidR="00740AC9" w:rsidRPr="00740AC9" w:rsidRDefault="00740AC9" w:rsidP="00466850">
      <w:pPr>
        <w:rPr>
          <w:rFonts w:ascii="Times New Roman" w:hAnsi="Times New Roman"/>
          <w:b/>
          <w:bCs/>
          <w:sz w:val="20"/>
          <w:szCs w:val="20"/>
          <w:lang w:val="en-GB"/>
        </w:rPr>
      </w:pPr>
      <w:r w:rsidRPr="00740AC9">
        <w:rPr>
          <w:rFonts w:ascii="Times New Roman" w:hAnsi="Times New Roman" w:hint="eastAsia"/>
          <w:b/>
          <w:bCs/>
          <w:sz w:val="20"/>
          <w:szCs w:val="20"/>
          <w:lang w:val="en-GB"/>
        </w:rPr>
        <w:t>O</w:t>
      </w:r>
      <w:r w:rsidRPr="00740AC9">
        <w:rPr>
          <w:rFonts w:ascii="Times New Roman" w:hAnsi="Times New Roman"/>
          <w:b/>
          <w:bCs/>
          <w:sz w:val="20"/>
          <w:szCs w:val="20"/>
          <w:lang w:val="en-GB"/>
        </w:rPr>
        <w:t>bservation 1: Introducing distance-based criterion in idle mobility requires UE to receive addition location information from network broadcasting, and more UE position acquiring as well as calculation of distances.</w:t>
      </w:r>
    </w:p>
    <w:p w14:paraId="79F7DC94" w14:textId="5EB23BDF" w:rsidR="009705C4" w:rsidRDefault="00740AC9" w:rsidP="00466850">
      <w:pPr>
        <w:rPr>
          <w:rFonts w:ascii="Times New Roman" w:hAnsi="Times New Roman"/>
          <w:sz w:val="20"/>
          <w:szCs w:val="20"/>
          <w:lang w:val="en-GB"/>
        </w:rPr>
      </w:pPr>
      <w:r>
        <w:rPr>
          <w:rFonts w:ascii="Times New Roman" w:hAnsi="Times New Roman"/>
          <w:sz w:val="20"/>
          <w:szCs w:val="20"/>
          <w:lang w:val="en-GB"/>
        </w:rPr>
        <w:t xml:space="preserve">For idle mode we suggest only solving the essential issues with minimum signalling cost or power consumption. </w:t>
      </w:r>
      <w:r>
        <w:rPr>
          <w:rFonts w:ascii="Times New Roman" w:hAnsi="Times New Roman" w:hint="eastAsia"/>
          <w:sz w:val="20"/>
          <w:szCs w:val="20"/>
          <w:lang w:val="en-GB"/>
        </w:rPr>
        <w:t>B</w:t>
      </w:r>
      <w:r>
        <w:rPr>
          <w:rFonts w:ascii="Times New Roman" w:hAnsi="Times New Roman"/>
          <w:sz w:val="20"/>
          <w:szCs w:val="20"/>
          <w:lang w:val="en-GB"/>
        </w:rPr>
        <w:t>ased on the above analysis it is proposed that:</w:t>
      </w:r>
    </w:p>
    <w:p w14:paraId="06C40F22" w14:textId="57667CC0" w:rsidR="00740AC9" w:rsidRPr="00740AC9" w:rsidRDefault="00740AC9" w:rsidP="00466850">
      <w:pPr>
        <w:rPr>
          <w:rFonts w:ascii="Times New Roman" w:hAnsi="Times New Roman"/>
          <w:b/>
          <w:bCs/>
          <w:sz w:val="20"/>
          <w:szCs w:val="20"/>
          <w:lang w:val="en-GB"/>
        </w:rPr>
      </w:pPr>
      <w:r w:rsidRPr="00740AC9">
        <w:rPr>
          <w:rFonts w:ascii="Times New Roman" w:hAnsi="Times New Roman" w:hint="eastAsia"/>
          <w:b/>
          <w:bCs/>
          <w:sz w:val="20"/>
          <w:szCs w:val="20"/>
          <w:lang w:val="en-GB"/>
        </w:rPr>
        <w:t>P</w:t>
      </w:r>
      <w:r w:rsidRPr="00740AC9">
        <w:rPr>
          <w:rFonts w:ascii="Times New Roman" w:hAnsi="Times New Roman"/>
          <w:b/>
          <w:bCs/>
          <w:sz w:val="20"/>
          <w:szCs w:val="20"/>
          <w:lang w:val="en-GB"/>
        </w:rPr>
        <w:t>roposal 1: Distance-based criterion is only applied in neighbour cell measurement triggering.</w:t>
      </w:r>
    </w:p>
    <w:p w14:paraId="40FF74AD" w14:textId="00FEEE15" w:rsidR="00740AC9" w:rsidRDefault="00740AC9" w:rsidP="00466850">
      <w:pPr>
        <w:rPr>
          <w:rFonts w:ascii="Times New Roman" w:hAnsi="Times New Roman"/>
          <w:sz w:val="20"/>
          <w:szCs w:val="20"/>
          <w:lang w:val="en-GB"/>
        </w:rPr>
      </w:pPr>
      <w:r>
        <w:rPr>
          <w:rFonts w:ascii="Times New Roman" w:hAnsi="Times New Roman"/>
          <w:sz w:val="20"/>
          <w:szCs w:val="20"/>
          <w:lang w:val="en-GB"/>
        </w:rPr>
        <w:t xml:space="preserve">This proposal at least applies to the case wherein </w:t>
      </w:r>
      <w:r w:rsidRPr="00740AC9">
        <w:rPr>
          <w:rFonts w:ascii="Times New Roman" w:hAnsi="Times New Roman"/>
          <w:sz w:val="20"/>
          <w:szCs w:val="20"/>
          <w:lang w:val="en-GB"/>
        </w:rPr>
        <w:t>the serving cell is quasi-fixed</w:t>
      </w:r>
      <w:r>
        <w:rPr>
          <w:rFonts w:ascii="Times New Roman" w:hAnsi="Times New Roman"/>
          <w:sz w:val="20"/>
          <w:szCs w:val="20"/>
          <w:lang w:val="en-GB"/>
        </w:rPr>
        <w:t>.</w:t>
      </w:r>
      <w:r w:rsidRPr="00740AC9">
        <w:rPr>
          <w:rFonts w:ascii="Times New Roman" w:hAnsi="Times New Roman"/>
          <w:sz w:val="20"/>
          <w:szCs w:val="20"/>
          <w:lang w:val="en-GB"/>
        </w:rPr>
        <w:t xml:space="preserve"> </w:t>
      </w:r>
      <w:r>
        <w:rPr>
          <w:rFonts w:ascii="Times New Roman" w:hAnsi="Times New Roman"/>
          <w:sz w:val="20"/>
          <w:szCs w:val="20"/>
          <w:lang w:val="en-GB"/>
        </w:rPr>
        <w:t xml:space="preserve">Whether it is applied to </w:t>
      </w:r>
      <w:r w:rsidRPr="00740AC9">
        <w:rPr>
          <w:rFonts w:ascii="Times New Roman" w:hAnsi="Times New Roman"/>
          <w:sz w:val="20"/>
          <w:szCs w:val="20"/>
          <w:lang w:val="en-GB"/>
        </w:rPr>
        <w:t xml:space="preserve">the </w:t>
      </w:r>
      <w:r>
        <w:rPr>
          <w:rFonts w:ascii="Times New Roman" w:hAnsi="Times New Roman"/>
          <w:sz w:val="20"/>
          <w:szCs w:val="20"/>
          <w:lang w:val="en-GB"/>
        </w:rPr>
        <w:t xml:space="preserve">case wherein the </w:t>
      </w:r>
      <w:r w:rsidRPr="00740AC9">
        <w:rPr>
          <w:rFonts w:ascii="Times New Roman" w:hAnsi="Times New Roman"/>
          <w:sz w:val="20"/>
          <w:szCs w:val="20"/>
          <w:lang w:val="en-GB"/>
        </w:rPr>
        <w:t xml:space="preserve">serving cell is </w:t>
      </w:r>
      <w:r>
        <w:rPr>
          <w:rFonts w:ascii="Times New Roman" w:hAnsi="Times New Roman"/>
          <w:sz w:val="20"/>
          <w:szCs w:val="20"/>
          <w:lang w:val="en-GB"/>
        </w:rPr>
        <w:t>moving shall consider the frequency of acquiring as well as the actual improvement.</w:t>
      </w:r>
    </w:p>
    <w:p w14:paraId="24F757EB" w14:textId="7D5D68EE" w:rsidR="006E5636" w:rsidRPr="00997F7E" w:rsidRDefault="00740AC9" w:rsidP="002323EA">
      <w:pPr>
        <w:outlineLvl w:val="1"/>
        <w:rPr>
          <w:rFonts w:ascii="Times New Roman" w:hAnsi="Times New Roman"/>
          <w:b/>
          <w:bCs/>
          <w:sz w:val="22"/>
          <w:u w:val="single"/>
          <w:lang w:val="en-GB"/>
        </w:rPr>
      </w:pPr>
      <w:r>
        <w:rPr>
          <w:rFonts w:ascii="Times New Roman" w:hAnsi="Times New Roman"/>
          <w:b/>
          <w:bCs/>
          <w:sz w:val="22"/>
          <w:u w:val="single"/>
          <w:lang w:val="en-GB"/>
        </w:rPr>
        <w:t xml:space="preserve">TN </w:t>
      </w:r>
      <w:r>
        <w:rPr>
          <w:rFonts w:ascii="Times New Roman" w:hAnsi="Times New Roman" w:hint="eastAsia"/>
          <w:b/>
          <w:bCs/>
          <w:sz w:val="22"/>
          <w:u w:val="single"/>
          <w:lang w:val="en-GB"/>
        </w:rPr>
        <w:t>prioritization</w:t>
      </w:r>
      <w:r>
        <w:rPr>
          <w:rFonts w:ascii="Times New Roman" w:hAnsi="Times New Roman"/>
          <w:b/>
          <w:bCs/>
          <w:sz w:val="22"/>
          <w:u w:val="single"/>
          <w:lang w:val="en-GB"/>
        </w:rPr>
        <w:t xml:space="preserve"> </w:t>
      </w:r>
      <w:r>
        <w:rPr>
          <w:rFonts w:ascii="Times New Roman" w:hAnsi="Times New Roman" w:hint="eastAsia"/>
          <w:b/>
          <w:bCs/>
          <w:sz w:val="22"/>
          <w:u w:val="single"/>
          <w:lang w:val="en-GB"/>
        </w:rPr>
        <w:t>over</w:t>
      </w:r>
      <w:r>
        <w:rPr>
          <w:rFonts w:ascii="Times New Roman" w:hAnsi="Times New Roman"/>
          <w:b/>
          <w:bCs/>
          <w:sz w:val="22"/>
          <w:u w:val="single"/>
          <w:lang w:val="en-GB"/>
        </w:rPr>
        <w:t xml:space="preserve"> </w:t>
      </w:r>
      <w:r>
        <w:rPr>
          <w:rFonts w:ascii="Times New Roman" w:hAnsi="Times New Roman" w:hint="eastAsia"/>
          <w:b/>
          <w:bCs/>
          <w:sz w:val="22"/>
          <w:u w:val="single"/>
          <w:lang w:val="en-GB"/>
        </w:rPr>
        <w:t>NTN</w:t>
      </w:r>
    </w:p>
    <w:p w14:paraId="2853B38F" w14:textId="77777777" w:rsidR="00740AC9" w:rsidRPr="0079321C" w:rsidRDefault="00740AC9" w:rsidP="00740AC9">
      <w:pPr>
        <w:rPr>
          <w:rFonts w:ascii="Times New Roman" w:hAnsi="Times New Roman"/>
          <w:b/>
          <w:bCs/>
          <w:sz w:val="20"/>
          <w:szCs w:val="20"/>
          <w:lang w:val="en-GB"/>
        </w:rPr>
      </w:pPr>
      <w:r>
        <w:rPr>
          <w:rFonts w:ascii="Times New Roman" w:hAnsi="Times New Roman"/>
          <w:sz w:val="20"/>
          <w:szCs w:val="20"/>
          <w:lang w:val="en-GB"/>
        </w:rPr>
        <w:t>Fo</w:t>
      </w:r>
      <w:r w:rsidRPr="00226616">
        <w:rPr>
          <w:rFonts w:ascii="Times New Roman" w:hAnsi="Times New Roman"/>
          <w:sz w:val="20"/>
          <w:szCs w:val="20"/>
          <w:lang w:val="en-GB"/>
        </w:rPr>
        <w:t xml:space="preserve">r TN-NTN idle mobility, there </w:t>
      </w:r>
      <w:r>
        <w:rPr>
          <w:rFonts w:ascii="Times New Roman" w:hAnsi="Times New Roman"/>
          <w:sz w:val="20"/>
          <w:szCs w:val="20"/>
          <w:lang w:val="en-GB"/>
        </w:rPr>
        <w:t xml:space="preserve">has been some motivations of </w:t>
      </w:r>
      <w:r w:rsidRPr="00226616">
        <w:rPr>
          <w:rFonts w:ascii="Times New Roman" w:hAnsi="Times New Roman"/>
          <w:sz w:val="20"/>
          <w:szCs w:val="20"/>
          <w:lang w:val="en-GB"/>
        </w:rPr>
        <w:t xml:space="preserve">prioritizing TN </w:t>
      </w:r>
      <w:r>
        <w:rPr>
          <w:rFonts w:ascii="Times New Roman" w:hAnsi="Times New Roman"/>
          <w:sz w:val="20"/>
          <w:szCs w:val="20"/>
          <w:lang w:val="en-GB"/>
        </w:rPr>
        <w:t>over</w:t>
      </w:r>
      <w:r w:rsidRPr="00226616">
        <w:rPr>
          <w:rFonts w:ascii="Times New Roman" w:hAnsi="Times New Roman"/>
          <w:sz w:val="20"/>
          <w:szCs w:val="20"/>
          <w:lang w:val="en-GB"/>
        </w:rPr>
        <w:t xml:space="preserve"> NTN</w:t>
      </w:r>
      <w:r>
        <w:rPr>
          <w:rFonts w:ascii="Times New Roman" w:hAnsi="Times New Roman"/>
          <w:sz w:val="20"/>
          <w:szCs w:val="20"/>
          <w:lang w:val="en-GB"/>
        </w:rPr>
        <w:t>. However as</w:t>
      </w:r>
      <w:r w:rsidRPr="001F74F7">
        <w:rPr>
          <w:rFonts w:ascii="Times New Roman" w:hAnsi="Times New Roman"/>
          <w:sz w:val="20"/>
          <w:szCs w:val="20"/>
          <w:lang w:val="en-GB"/>
        </w:rPr>
        <w:t xml:space="preserve"> </w:t>
      </w:r>
      <w:r w:rsidRPr="00226616">
        <w:rPr>
          <w:rFonts w:ascii="Times New Roman" w:hAnsi="Times New Roman"/>
          <w:sz w:val="20"/>
          <w:szCs w:val="20"/>
          <w:lang w:val="en-GB"/>
        </w:rPr>
        <w:t xml:space="preserve">NTN and TN </w:t>
      </w:r>
      <w:r>
        <w:rPr>
          <w:rFonts w:ascii="Times New Roman" w:hAnsi="Times New Roman"/>
          <w:sz w:val="20"/>
          <w:szCs w:val="20"/>
          <w:lang w:val="en-GB"/>
        </w:rPr>
        <w:t xml:space="preserve">will possibly </w:t>
      </w:r>
      <w:r w:rsidRPr="00226616">
        <w:rPr>
          <w:rFonts w:ascii="Times New Roman" w:hAnsi="Times New Roman"/>
          <w:sz w:val="20"/>
          <w:szCs w:val="20"/>
          <w:lang w:val="en-GB"/>
        </w:rPr>
        <w:t>use different frequency bands</w:t>
      </w:r>
      <w:r>
        <w:rPr>
          <w:rFonts w:ascii="Times New Roman" w:hAnsi="Times New Roman"/>
          <w:sz w:val="20"/>
          <w:szCs w:val="20"/>
          <w:lang w:val="en-GB"/>
        </w:rPr>
        <w:t>, there</w:t>
      </w:r>
      <w:r w:rsidRPr="00226616">
        <w:rPr>
          <w:rFonts w:ascii="Times New Roman" w:hAnsi="Times New Roman"/>
          <w:sz w:val="20"/>
          <w:szCs w:val="20"/>
          <w:lang w:val="en-GB"/>
        </w:rPr>
        <w:t xml:space="preserve"> is no need of further enhancement</w:t>
      </w:r>
      <w:r>
        <w:rPr>
          <w:rFonts w:ascii="Times New Roman" w:hAnsi="Times New Roman"/>
          <w:sz w:val="20"/>
          <w:szCs w:val="20"/>
          <w:lang w:val="en-GB"/>
        </w:rPr>
        <w:t xml:space="preserve"> and t</w:t>
      </w:r>
      <w:r w:rsidRPr="00226616">
        <w:rPr>
          <w:rFonts w:ascii="Times New Roman" w:hAnsi="Times New Roman"/>
          <w:sz w:val="20"/>
          <w:szCs w:val="20"/>
          <w:lang w:val="en-GB"/>
        </w:rPr>
        <w:t xml:space="preserve">he legacy frequency priority can </w:t>
      </w:r>
      <w:r>
        <w:rPr>
          <w:rFonts w:ascii="Times New Roman" w:hAnsi="Times New Roman"/>
          <w:sz w:val="20"/>
          <w:szCs w:val="20"/>
          <w:lang w:val="en-GB"/>
        </w:rPr>
        <w:t xml:space="preserve">do the </w:t>
      </w:r>
      <w:r w:rsidRPr="00226616">
        <w:rPr>
          <w:rFonts w:ascii="Times New Roman" w:hAnsi="Times New Roman"/>
          <w:sz w:val="20"/>
          <w:szCs w:val="20"/>
          <w:lang w:val="en-GB"/>
        </w:rPr>
        <w:t>work.</w:t>
      </w:r>
    </w:p>
    <w:p w14:paraId="2E1C32FE" w14:textId="77777777" w:rsidR="00740AC9" w:rsidRPr="0000153C" w:rsidRDefault="00740AC9" w:rsidP="00740AC9">
      <w:pPr>
        <w:rPr>
          <w:rFonts w:ascii="Times New Roman" w:hAnsi="Times New Roman"/>
          <w:b/>
          <w:bCs/>
          <w:sz w:val="20"/>
          <w:szCs w:val="20"/>
          <w:lang w:val="en-GB"/>
        </w:rPr>
      </w:pPr>
      <w:r w:rsidRPr="0000153C">
        <w:rPr>
          <w:rFonts w:ascii="Times New Roman" w:hAnsi="Times New Roman" w:hint="eastAsia"/>
          <w:b/>
          <w:bCs/>
          <w:sz w:val="20"/>
          <w:szCs w:val="20"/>
          <w:lang w:val="en-GB"/>
        </w:rPr>
        <w:t>P</w:t>
      </w:r>
      <w:r w:rsidRPr="0000153C">
        <w:rPr>
          <w:rFonts w:ascii="Times New Roman" w:hAnsi="Times New Roman"/>
          <w:b/>
          <w:bCs/>
          <w:sz w:val="20"/>
          <w:szCs w:val="20"/>
          <w:lang w:val="en-GB"/>
        </w:rPr>
        <w:t>roposal 2: The frequency-based priorities are used to prioritize TN over NTN by setting the frequency bands of TN with higher priority than that of NTN.</w:t>
      </w:r>
    </w:p>
    <w:p w14:paraId="715639A7" w14:textId="75222BD1" w:rsidR="006E5636" w:rsidRPr="00740AC9" w:rsidRDefault="00D2761A" w:rsidP="00E541C0">
      <w:pPr>
        <w:rPr>
          <w:rFonts w:ascii="Times New Roman" w:hAnsi="Times New Roman"/>
          <w:sz w:val="20"/>
          <w:szCs w:val="20"/>
          <w:lang w:val="en-GB"/>
        </w:rPr>
      </w:pPr>
      <w:r>
        <w:rPr>
          <w:rFonts w:ascii="Times New Roman" w:hAnsi="Times New Roman" w:hint="eastAsia"/>
          <w:sz w:val="20"/>
          <w:szCs w:val="20"/>
          <w:lang w:val="en-GB"/>
        </w:rPr>
        <w:t>The</w:t>
      </w:r>
      <w:r>
        <w:rPr>
          <w:rFonts w:ascii="Times New Roman" w:hAnsi="Times New Roman"/>
          <w:sz w:val="20"/>
          <w:szCs w:val="20"/>
          <w:lang w:val="en-GB"/>
        </w:rPr>
        <w:t xml:space="preserve"> </w:t>
      </w:r>
      <w:r>
        <w:rPr>
          <w:rFonts w:ascii="Times New Roman" w:hAnsi="Times New Roman" w:hint="eastAsia"/>
          <w:sz w:val="20"/>
          <w:szCs w:val="20"/>
          <w:lang w:val="en-GB"/>
        </w:rPr>
        <w:t>distance</w:t>
      </w:r>
      <w:r>
        <w:rPr>
          <w:rFonts w:ascii="Times New Roman" w:hAnsi="Times New Roman"/>
          <w:sz w:val="20"/>
          <w:szCs w:val="20"/>
          <w:lang w:val="en-GB"/>
        </w:rPr>
        <w:t>-based criterion may only be considered when the serving cell is an NTN cell, and this could be network implementation via configuration. There is no need to make further restriction on this.</w:t>
      </w:r>
    </w:p>
    <w:p w14:paraId="61FF53FC" w14:textId="2DB199BE" w:rsidR="006E5636" w:rsidRPr="00554B5A" w:rsidRDefault="00554B5A" w:rsidP="002323EA">
      <w:pPr>
        <w:outlineLvl w:val="1"/>
        <w:rPr>
          <w:rFonts w:ascii="Times New Roman" w:hAnsi="Times New Roman"/>
          <w:b/>
          <w:bCs/>
          <w:sz w:val="22"/>
          <w:u w:val="single"/>
          <w:lang w:val="en-GB"/>
        </w:rPr>
      </w:pPr>
      <w:r w:rsidRPr="00554B5A">
        <w:rPr>
          <w:rFonts w:ascii="Times New Roman" w:hAnsi="Times New Roman" w:hint="eastAsia"/>
          <w:b/>
          <w:bCs/>
          <w:sz w:val="22"/>
          <w:u w:val="single"/>
          <w:lang w:val="en-GB"/>
        </w:rPr>
        <w:t>S</w:t>
      </w:r>
      <w:r w:rsidRPr="00554B5A">
        <w:rPr>
          <w:rFonts w:ascii="Times New Roman" w:hAnsi="Times New Roman"/>
          <w:b/>
          <w:bCs/>
          <w:sz w:val="22"/>
          <w:u w:val="single"/>
          <w:lang w:val="en-GB"/>
        </w:rPr>
        <w:t>upport of discontinuous coverage</w:t>
      </w:r>
    </w:p>
    <w:p w14:paraId="60D08183" w14:textId="326B6FBD" w:rsidR="006E5636" w:rsidRDefault="001A61A3" w:rsidP="00E541C0">
      <w:pPr>
        <w:rPr>
          <w:rFonts w:ascii="Times New Roman" w:hAnsi="Times New Roman"/>
          <w:sz w:val="20"/>
          <w:szCs w:val="20"/>
          <w:lang w:val="en-GB"/>
        </w:rPr>
      </w:pPr>
      <w:r w:rsidRPr="001A61A3">
        <w:rPr>
          <w:rFonts w:ascii="Times New Roman" w:hAnsi="Times New Roman"/>
          <w:sz w:val="20"/>
          <w:szCs w:val="20"/>
          <w:lang w:val="en-GB"/>
        </w:rPr>
        <w:t xml:space="preserve">During the discussions for </w:t>
      </w:r>
      <w:r>
        <w:rPr>
          <w:rFonts w:ascii="Times New Roman" w:hAnsi="Times New Roman"/>
          <w:sz w:val="20"/>
          <w:szCs w:val="20"/>
          <w:lang w:val="en-GB"/>
        </w:rPr>
        <w:t xml:space="preserve">IoT </w:t>
      </w:r>
      <w:r w:rsidRPr="001A61A3">
        <w:rPr>
          <w:rFonts w:ascii="Times New Roman" w:hAnsi="Times New Roman"/>
          <w:sz w:val="20"/>
          <w:szCs w:val="20"/>
          <w:lang w:val="en-GB"/>
        </w:rPr>
        <w:t xml:space="preserve">NTN, satellite service providers proposed to include microsatellite platforms (a.k.a. Cube satellites) with limited size and power and low-density satellite constellations, which have restricted link budget and discontinuous coverage where UE </w:t>
      </w:r>
      <w:r>
        <w:rPr>
          <w:rFonts w:ascii="Times New Roman" w:hAnsi="Times New Roman"/>
          <w:sz w:val="20"/>
          <w:szCs w:val="20"/>
          <w:lang w:val="en-GB"/>
        </w:rPr>
        <w:t>may</w:t>
      </w:r>
      <w:r w:rsidRPr="001A61A3">
        <w:rPr>
          <w:rFonts w:ascii="Times New Roman" w:hAnsi="Times New Roman"/>
          <w:sz w:val="20"/>
          <w:szCs w:val="20"/>
          <w:lang w:val="en-GB"/>
        </w:rPr>
        <w:t xml:space="preserve"> remain long periods of time without being able to detect a satellite cell. The signalling support and enhancement for discontinuous coverage are</w:t>
      </w:r>
      <w:r>
        <w:rPr>
          <w:rFonts w:ascii="Times New Roman" w:hAnsi="Times New Roman"/>
          <w:sz w:val="20"/>
          <w:szCs w:val="20"/>
          <w:lang w:val="en-GB"/>
        </w:rPr>
        <w:t xml:space="preserve"> being</w:t>
      </w:r>
      <w:r w:rsidRPr="001A61A3">
        <w:rPr>
          <w:rFonts w:ascii="Times New Roman" w:hAnsi="Times New Roman"/>
          <w:sz w:val="20"/>
          <w:szCs w:val="20"/>
          <w:lang w:val="en-GB"/>
        </w:rPr>
        <w:t xml:space="preserve"> discussed </w:t>
      </w:r>
      <w:r>
        <w:rPr>
          <w:rFonts w:ascii="Times New Roman" w:hAnsi="Times New Roman"/>
          <w:sz w:val="20"/>
          <w:szCs w:val="20"/>
          <w:lang w:val="en-GB"/>
        </w:rPr>
        <w:t xml:space="preserve">in a separate sub-agenda </w:t>
      </w:r>
      <w:r w:rsidRPr="001A61A3">
        <w:rPr>
          <w:rFonts w:ascii="Times New Roman" w:hAnsi="Times New Roman"/>
          <w:sz w:val="20"/>
          <w:szCs w:val="20"/>
          <w:lang w:val="en-GB"/>
        </w:rPr>
        <w:t xml:space="preserve">for </w:t>
      </w:r>
      <w:r>
        <w:rPr>
          <w:rFonts w:ascii="Times New Roman" w:hAnsi="Times New Roman"/>
          <w:sz w:val="20"/>
          <w:szCs w:val="20"/>
          <w:lang w:val="en-GB"/>
        </w:rPr>
        <w:t xml:space="preserve">IoT </w:t>
      </w:r>
      <w:r w:rsidRPr="001A61A3">
        <w:rPr>
          <w:rFonts w:ascii="Times New Roman" w:hAnsi="Times New Roman"/>
          <w:sz w:val="20"/>
          <w:szCs w:val="20"/>
          <w:lang w:val="en-GB"/>
        </w:rPr>
        <w:t>NTN.</w:t>
      </w:r>
    </w:p>
    <w:p w14:paraId="5EAA656D" w14:textId="7F9E36E0" w:rsidR="002C19C8" w:rsidRDefault="002C19C8" w:rsidP="00E541C0">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t is </w:t>
      </w:r>
      <w:r w:rsidRPr="002C19C8">
        <w:rPr>
          <w:rFonts w:ascii="Times New Roman" w:hAnsi="Times New Roman"/>
          <w:sz w:val="20"/>
          <w:szCs w:val="20"/>
          <w:lang w:val="en-GB"/>
        </w:rPr>
        <w:t>anticipated</w:t>
      </w:r>
      <w:r>
        <w:rPr>
          <w:rFonts w:ascii="Times New Roman" w:hAnsi="Times New Roman"/>
          <w:sz w:val="20"/>
          <w:szCs w:val="20"/>
          <w:lang w:val="en-GB"/>
        </w:rPr>
        <w:t xml:space="preserve"> that, for NR NTN, there could be deployments under </w:t>
      </w:r>
      <w:r w:rsidRPr="001A61A3">
        <w:rPr>
          <w:rFonts w:ascii="Times New Roman" w:hAnsi="Times New Roman"/>
          <w:sz w:val="20"/>
          <w:szCs w:val="20"/>
          <w:lang w:val="en-GB"/>
        </w:rPr>
        <w:t>low-density satellite constellations</w:t>
      </w:r>
      <w:r>
        <w:rPr>
          <w:rFonts w:ascii="Times New Roman" w:hAnsi="Times New Roman"/>
          <w:sz w:val="20"/>
          <w:szCs w:val="20"/>
          <w:lang w:val="en-GB"/>
        </w:rPr>
        <w:t xml:space="preserve"> for normal or </w:t>
      </w:r>
      <w:proofErr w:type="spellStart"/>
      <w:r>
        <w:rPr>
          <w:rFonts w:ascii="Times New Roman" w:hAnsi="Times New Roman"/>
          <w:sz w:val="20"/>
          <w:szCs w:val="20"/>
          <w:lang w:val="en-GB"/>
        </w:rPr>
        <w:t>RedCap</w:t>
      </w:r>
      <w:proofErr w:type="spellEnd"/>
      <w:r>
        <w:rPr>
          <w:rFonts w:ascii="Times New Roman" w:hAnsi="Times New Roman"/>
          <w:sz w:val="20"/>
          <w:szCs w:val="20"/>
          <w:lang w:val="en-GB"/>
        </w:rPr>
        <w:t xml:space="preserve"> UEs, and UE power saving when there is no satellite coverage (e.g. predicting coverage interruption and/or disabling idle mobility functions) should also be considered. The solutions for IoT NTN could be reused.</w:t>
      </w:r>
    </w:p>
    <w:p w14:paraId="7BC7B27D" w14:textId="30754822" w:rsidR="006E5636" w:rsidRPr="002C19C8" w:rsidRDefault="002C19C8" w:rsidP="00E541C0">
      <w:pPr>
        <w:rPr>
          <w:rFonts w:ascii="Times New Roman" w:hAnsi="Times New Roman"/>
          <w:b/>
          <w:bCs/>
          <w:sz w:val="20"/>
          <w:szCs w:val="20"/>
          <w:lang w:val="en-GB"/>
        </w:rPr>
      </w:pPr>
      <w:r w:rsidRPr="002C19C8">
        <w:rPr>
          <w:rFonts w:ascii="Times New Roman" w:hAnsi="Times New Roman" w:hint="eastAsia"/>
          <w:b/>
          <w:bCs/>
          <w:sz w:val="20"/>
          <w:szCs w:val="20"/>
          <w:lang w:val="en-GB"/>
        </w:rPr>
        <w:t>P</w:t>
      </w:r>
      <w:r w:rsidRPr="002C19C8">
        <w:rPr>
          <w:rFonts w:ascii="Times New Roman" w:hAnsi="Times New Roman"/>
          <w:b/>
          <w:bCs/>
          <w:sz w:val="20"/>
          <w:szCs w:val="20"/>
          <w:lang w:val="en-GB"/>
        </w:rPr>
        <w:t>roposal 3: RAN2 to consider support enhancements to discontinuous coverage scenario in NR NTN. The solutions for IoT NTN discontinuous coverage can be reused.</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16ABF0C9"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632713">
        <w:rPr>
          <w:rFonts w:ascii="Times New Roman" w:hAnsi="Times New Roman"/>
          <w:sz w:val="20"/>
          <w:szCs w:val="20"/>
        </w:rPr>
        <w:t xml:space="preserve">we discuss </w:t>
      </w:r>
      <w:r w:rsidR="001F74F7" w:rsidRPr="001F74F7">
        <w:rPr>
          <w:rFonts w:ascii="Times New Roman" w:hAnsi="Times New Roman"/>
          <w:sz w:val="20"/>
          <w:szCs w:val="20"/>
          <w:lang w:val="en-GB"/>
        </w:rPr>
        <w:t xml:space="preserve">the applicability of </w:t>
      </w:r>
      <w:r w:rsidR="002C19C8" w:rsidRPr="002C19C8">
        <w:rPr>
          <w:rFonts w:ascii="Times New Roman" w:hAnsi="Times New Roman"/>
          <w:sz w:val="20"/>
          <w:szCs w:val="20"/>
          <w:lang w:val="en-GB"/>
        </w:rPr>
        <w:t>distance-based criterion in NTN idle mobility and support of discontinuous coverage</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05DE89FD" w14:textId="77777777" w:rsidR="002C19C8" w:rsidRPr="00740AC9" w:rsidRDefault="002C19C8" w:rsidP="002C19C8">
      <w:pPr>
        <w:rPr>
          <w:rFonts w:ascii="Times New Roman" w:hAnsi="Times New Roman"/>
          <w:b/>
          <w:bCs/>
          <w:sz w:val="20"/>
          <w:szCs w:val="20"/>
          <w:lang w:val="en-GB"/>
        </w:rPr>
      </w:pPr>
      <w:r w:rsidRPr="00740AC9">
        <w:rPr>
          <w:rFonts w:ascii="Times New Roman" w:hAnsi="Times New Roman" w:hint="eastAsia"/>
          <w:b/>
          <w:bCs/>
          <w:sz w:val="20"/>
          <w:szCs w:val="20"/>
          <w:lang w:val="en-GB"/>
        </w:rPr>
        <w:t>O</w:t>
      </w:r>
      <w:r w:rsidRPr="00740AC9">
        <w:rPr>
          <w:rFonts w:ascii="Times New Roman" w:hAnsi="Times New Roman"/>
          <w:b/>
          <w:bCs/>
          <w:sz w:val="20"/>
          <w:szCs w:val="20"/>
          <w:lang w:val="en-GB"/>
        </w:rPr>
        <w:t>bservation 1: Introducing distance-based criterion in idle mobility requires UE to receive addition location information from network broadcasting, and more UE position acquiring as well as calculation of distances.</w:t>
      </w:r>
    </w:p>
    <w:p w14:paraId="4AA5A6C2" w14:textId="77777777"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14:paraId="4F384D7B" w14:textId="77777777" w:rsidR="002C19C8" w:rsidRPr="00740AC9" w:rsidRDefault="002C19C8" w:rsidP="002C19C8">
      <w:pPr>
        <w:rPr>
          <w:rFonts w:ascii="Times New Roman" w:hAnsi="Times New Roman"/>
          <w:b/>
          <w:bCs/>
          <w:sz w:val="20"/>
          <w:szCs w:val="20"/>
          <w:lang w:val="en-GB"/>
        </w:rPr>
      </w:pPr>
      <w:r w:rsidRPr="00740AC9">
        <w:rPr>
          <w:rFonts w:ascii="Times New Roman" w:hAnsi="Times New Roman" w:hint="eastAsia"/>
          <w:b/>
          <w:bCs/>
          <w:sz w:val="20"/>
          <w:szCs w:val="20"/>
          <w:lang w:val="en-GB"/>
        </w:rPr>
        <w:t>P</w:t>
      </w:r>
      <w:r w:rsidRPr="00740AC9">
        <w:rPr>
          <w:rFonts w:ascii="Times New Roman" w:hAnsi="Times New Roman"/>
          <w:b/>
          <w:bCs/>
          <w:sz w:val="20"/>
          <w:szCs w:val="20"/>
          <w:lang w:val="en-GB"/>
        </w:rPr>
        <w:t>roposal 1: Distance-based criterion is only applied in neighbour cell measurement triggering.</w:t>
      </w:r>
    </w:p>
    <w:p w14:paraId="3E013995" w14:textId="77777777" w:rsidR="002C19C8" w:rsidRPr="0000153C" w:rsidRDefault="002C19C8" w:rsidP="002C19C8">
      <w:pPr>
        <w:rPr>
          <w:rFonts w:ascii="Times New Roman" w:hAnsi="Times New Roman"/>
          <w:b/>
          <w:bCs/>
          <w:sz w:val="20"/>
          <w:szCs w:val="20"/>
          <w:lang w:val="en-GB"/>
        </w:rPr>
      </w:pPr>
      <w:r w:rsidRPr="0000153C">
        <w:rPr>
          <w:rFonts w:ascii="Times New Roman" w:hAnsi="Times New Roman" w:hint="eastAsia"/>
          <w:b/>
          <w:bCs/>
          <w:sz w:val="20"/>
          <w:szCs w:val="20"/>
          <w:lang w:val="en-GB"/>
        </w:rPr>
        <w:lastRenderedPageBreak/>
        <w:t>P</w:t>
      </w:r>
      <w:r w:rsidRPr="0000153C">
        <w:rPr>
          <w:rFonts w:ascii="Times New Roman" w:hAnsi="Times New Roman"/>
          <w:b/>
          <w:bCs/>
          <w:sz w:val="20"/>
          <w:szCs w:val="20"/>
          <w:lang w:val="en-GB"/>
        </w:rPr>
        <w:t>roposal 2: The frequency-based priorities are used to prioritize TN over NTN by setting the frequency bands of TN with higher priority than that of NTN.</w:t>
      </w:r>
    </w:p>
    <w:p w14:paraId="6FE9CF87" w14:textId="4A0314AD" w:rsidR="00F44BE3" w:rsidRPr="002C19C8" w:rsidRDefault="002C19C8" w:rsidP="002C19C8">
      <w:pPr>
        <w:rPr>
          <w:rFonts w:ascii="Times New Roman" w:hAnsi="Times New Roman"/>
          <w:b/>
          <w:bCs/>
          <w:sz w:val="20"/>
          <w:szCs w:val="20"/>
          <w:lang w:val="en-GB"/>
        </w:rPr>
      </w:pPr>
      <w:r w:rsidRPr="002C19C8">
        <w:rPr>
          <w:rFonts w:ascii="Times New Roman" w:hAnsi="Times New Roman" w:hint="eastAsia"/>
          <w:b/>
          <w:bCs/>
          <w:sz w:val="20"/>
          <w:szCs w:val="20"/>
          <w:lang w:val="en-GB"/>
        </w:rPr>
        <w:t>P</w:t>
      </w:r>
      <w:r w:rsidRPr="002C19C8">
        <w:rPr>
          <w:rFonts w:ascii="Times New Roman" w:hAnsi="Times New Roman"/>
          <w:b/>
          <w:bCs/>
          <w:sz w:val="20"/>
          <w:szCs w:val="20"/>
          <w:lang w:val="en-GB"/>
        </w:rPr>
        <w:t>roposal 3: RAN2 to consider support enhancements to discontinuous coverage scenario in NR NTN. The solutions for IoT NTN discontinuous coverage can be reused.</w:t>
      </w:r>
    </w:p>
    <w:sectPr w:rsidR="00F44BE3" w:rsidRPr="002C19C8"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E3301" w14:textId="77777777" w:rsidR="00726A88" w:rsidRDefault="00726A88">
      <w:r>
        <w:separator/>
      </w:r>
    </w:p>
  </w:endnote>
  <w:endnote w:type="continuationSeparator" w:id="0">
    <w:p w14:paraId="2796675D" w14:textId="77777777" w:rsidR="00726A88" w:rsidRDefault="00726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icrosoft JhengHei"/>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730C1" w14:textId="77777777" w:rsidR="00726A88" w:rsidRDefault="00726A88">
      <w:r>
        <w:separator/>
      </w:r>
    </w:p>
  </w:footnote>
  <w:footnote w:type="continuationSeparator" w:id="0">
    <w:p w14:paraId="4B0B3030" w14:textId="77777777" w:rsidR="00726A88" w:rsidRDefault="00726A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49C5FAD"/>
    <w:multiLevelType w:val="hybridMultilevel"/>
    <w:tmpl w:val="192630AA"/>
    <w:lvl w:ilvl="0" w:tplc="612C3CDE">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F24129"/>
    <w:multiLevelType w:val="hybridMultilevel"/>
    <w:tmpl w:val="F99099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9"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0"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2"/>
  </w:num>
  <w:num w:numId="3">
    <w:abstractNumId w:val="35"/>
  </w:num>
  <w:num w:numId="4">
    <w:abstractNumId w:val="4"/>
  </w:num>
  <w:num w:numId="5">
    <w:abstractNumId w:val="36"/>
  </w:num>
  <w:num w:numId="6">
    <w:abstractNumId w:val="16"/>
  </w:num>
  <w:num w:numId="7">
    <w:abstractNumId w:val="11"/>
  </w:num>
  <w:num w:numId="8">
    <w:abstractNumId w:val="29"/>
  </w:num>
  <w:num w:numId="9">
    <w:abstractNumId w:val="6"/>
  </w:num>
  <w:num w:numId="10">
    <w:abstractNumId w:val="24"/>
  </w:num>
  <w:num w:numId="11">
    <w:abstractNumId w:val="26"/>
  </w:num>
  <w:num w:numId="12">
    <w:abstractNumId w:val="22"/>
  </w:num>
  <w:num w:numId="13">
    <w:abstractNumId w:val="27"/>
  </w:num>
  <w:num w:numId="14">
    <w:abstractNumId w:val="14"/>
  </w:num>
  <w:num w:numId="15">
    <w:abstractNumId w:val="3"/>
  </w:num>
  <w:num w:numId="16">
    <w:abstractNumId w:val="23"/>
  </w:num>
  <w:num w:numId="17">
    <w:abstractNumId w:val="31"/>
  </w:num>
  <w:num w:numId="18">
    <w:abstractNumId w:val="25"/>
  </w:num>
  <w:num w:numId="19">
    <w:abstractNumId w:val="31"/>
  </w:num>
  <w:num w:numId="20">
    <w:abstractNumId w:val="30"/>
  </w:num>
  <w:num w:numId="21">
    <w:abstractNumId w:val="31"/>
  </w:num>
  <w:num w:numId="22">
    <w:abstractNumId w:val="9"/>
  </w:num>
  <w:num w:numId="23">
    <w:abstractNumId w:val="31"/>
  </w:num>
  <w:num w:numId="24">
    <w:abstractNumId w:val="8"/>
  </w:num>
  <w:num w:numId="25">
    <w:abstractNumId w:val="7"/>
  </w:num>
  <w:num w:numId="26">
    <w:abstractNumId w:val="19"/>
  </w:num>
  <w:num w:numId="27">
    <w:abstractNumId w:val="32"/>
  </w:num>
  <w:num w:numId="28">
    <w:abstractNumId w:val="5"/>
  </w:num>
  <w:num w:numId="29">
    <w:abstractNumId w:val="28"/>
  </w:num>
  <w:num w:numId="30">
    <w:abstractNumId w:val="15"/>
  </w:num>
  <w:num w:numId="31">
    <w:abstractNumId w:val="37"/>
  </w:num>
  <w:num w:numId="32">
    <w:abstractNumId w:val="20"/>
  </w:num>
  <w:num w:numId="33">
    <w:abstractNumId w:val="1"/>
  </w:num>
  <w:num w:numId="34">
    <w:abstractNumId w:val="12"/>
  </w:num>
  <w:num w:numId="35">
    <w:abstractNumId w:val="0"/>
  </w:num>
  <w:num w:numId="36">
    <w:abstractNumId w:val="33"/>
  </w:num>
  <w:num w:numId="37">
    <w:abstractNumId w:val="13"/>
  </w:num>
  <w:num w:numId="38">
    <w:abstractNumId w:val="10"/>
  </w:num>
  <w:num w:numId="39">
    <w:abstractNumId w:val="34"/>
  </w:num>
  <w:num w:numId="40">
    <w:abstractNumId w:val="17"/>
  </w:num>
  <w:num w:numId="41">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153C"/>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34D"/>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0B6"/>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1A3"/>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1F74F7"/>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130"/>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616"/>
    <w:rsid w:val="0022696A"/>
    <w:rsid w:val="00226C37"/>
    <w:rsid w:val="00226F32"/>
    <w:rsid w:val="00227787"/>
    <w:rsid w:val="00230C0D"/>
    <w:rsid w:val="00230E70"/>
    <w:rsid w:val="0023190D"/>
    <w:rsid w:val="00231B11"/>
    <w:rsid w:val="00231CE1"/>
    <w:rsid w:val="0023200F"/>
    <w:rsid w:val="00232141"/>
    <w:rsid w:val="002323EA"/>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283"/>
    <w:rsid w:val="002B6411"/>
    <w:rsid w:val="002B668A"/>
    <w:rsid w:val="002B6C49"/>
    <w:rsid w:val="002B6DD2"/>
    <w:rsid w:val="002B71A7"/>
    <w:rsid w:val="002C037F"/>
    <w:rsid w:val="002C0D21"/>
    <w:rsid w:val="002C1759"/>
    <w:rsid w:val="002C19C8"/>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3D0E"/>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F7C"/>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37"/>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329"/>
    <w:rsid w:val="004666BA"/>
    <w:rsid w:val="00466850"/>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6BB"/>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B5A"/>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344"/>
    <w:rsid w:val="005E07B4"/>
    <w:rsid w:val="005E0CF5"/>
    <w:rsid w:val="005E1075"/>
    <w:rsid w:val="005E1D0F"/>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46CA"/>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096"/>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636"/>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A88"/>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0A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44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21C"/>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B0C"/>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DA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393A"/>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51C"/>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5C4"/>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C38"/>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97F7E"/>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3B1"/>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48E"/>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9"/>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22E"/>
    <w:rsid w:val="00C663AB"/>
    <w:rsid w:val="00C66EF4"/>
    <w:rsid w:val="00C674B2"/>
    <w:rsid w:val="00C67926"/>
    <w:rsid w:val="00C703D0"/>
    <w:rsid w:val="00C70525"/>
    <w:rsid w:val="00C706F9"/>
    <w:rsid w:val="00C70FAF"/>
    <w:rsid w:val="00C710D5"/>
    <w:rsid w:val="00C711AF"/>
    <w:rsid w:val="00C71265"/>
    <w:rsid w:val="00C72803"/>
    <w:rsid w:val="00C73CEC"/>
    <w:rsid w:val="00C73E90"/>
    <w:rsid w:val="00C747C4"/>
    <w:rsid w:val="00C74F03"/>
    <w:rsid w:val="00C75B39"/>
    <w:rsid w:val="00C770AD"/>
    <w:rsid w:val="00C77404"/>
    <w:rsid w:val="00C8011D"/>
    <w:rsid w:val="00C80408"/>
    <w:rsid w:val="00C80F84"/>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BF6"/>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063"/>
    <w:rsid w:val="00CF12EA"/>
    <w:rsid w:val="00CF27ED"/>
    <w:rsid w:val="00CF300F"/>
    <w:rsid w:val="00CF47D4"/>
    <w:rsid w:val="00CF5B00"/>
    <w:rsid w:val="00CF62CC"/>
    <w:rsid w:val="00CF6889"/>
    <w:rsid w:val="00CF6C6B"/>
    <w:rsid w:val="00CF76D0"/>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2761A"/>
    <w:rsid w:val="00D30560"/>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1BCE"/>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1E37"/>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4FA2"/>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6445"/>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28C"/>
    <w:rsid w:val="00F27C46"/>
    <w:rsid w:val="00F301AB"/>
    <w:rsid w:val="00F30D9E"/>
    <w:rsid w:val="00F3247D"/>
    <w:rsid w:val="00F32AAD"/>
    <w:rsid w:val="00F32E5D"/>
    <w:rsid w:val="00F331D2"/>
    <w:rsid w:val="00F34306"/>
    <w:rsid w:val="00F35442"/>
    <w:rsid w:val="00F35BD9"/>
    <w:rsid w:val="00F35D78"/>
    <w:rsid w:val="00F35E83"/>
    <w:rsid w:val="00F36161"/>
    <w:rsid w:val="00F36A76"/>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0725391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3</Pages>
  <Words>1117</Words>
  <Characters>6369</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79</cp:revision>
  <cp:lastPrinted>2012-10-30T00:20:00Z</cp:lastPrinted>
  <dcterms:created xsi:type="dcterms:W3CDTF">2020-08-03T07:44:00Z</dcterms:created>
  <dcterms:modified xsi:type="dcterms:W3CDTF">2022-01-10T08:48:00Z</dcterms:modified>
</cp:coreProperties>
</file>